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6E" w:rsidRDefault="00F7196E" w:rsidP="00490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PODLAGE ZA STROKOVNI DIALOG</w:t>
      </w:r>
    </w:p>
    <w:p w:rsidR="00F7196E" w:rsidRDefault="00354C1E" w:rsidP="004902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28.1.2021</w:t>
      </w:r>
      <w:bookmarkStart w:id="0" w:name="_GoBack"/>
      <w:bookmarkEnd w:id="0"/>
    </w:p>
    <w:p w:rsidR="0010185B" w:rsidRDefault="0010185B" w:rsidP="0049026D">
      <w:pPr>
        <w:spacing w:after="0" w:line="240" w:lineRule="auto"/>
        <w:rPr>
          <w:rFonts w:ascii="Arial" w:hAnsi="Arial" w:cs="Arial"/>
        </w:rPr>
      </w:pPr>
    </w:p>
    <w:p w:rsidR="004D3DBE" w:rsidRPr="00C65B82" w:rsidRDefault="00C65B82" w:rsidP="0049026D">
      <w:pPr>
        <w:spacing w:after="0" w:line="240" w:lineRule="auto"/>
        <w:rPr>
          <w:rFonts w:ascii="Arial" w:hAnsi="Arial" w:cs="Arial"/>
        </w:rPr>
      </w:pPr>
      <w:r w:rsidRPr="00C65B82">
        <w:rPr>
          <w:rFonts w:ascii="Arial" w:hAnsi="Arial" w:cs="Arial"/>
        </w:rPr>
        <w:t>OPIS TRENUTNEGA STANJA:</w:t>
      </w:r>
    </w:p>
    <w:p w:rsidR="002602F7" w:rsidRDefault="004D3DBE" w:rsidP="00786D3A">
      <w:pPr>
        <w:spacing w:after="0" w:line="240" w:lineRule="auto"/>
        <w:jc w:val="both"/>
        <w:rPr>
          <w:rFonts w:ascii="Arial" w:hAnsi="Arial" w:cs="Arial"/>
        </w:rPr>
      </w:pPr>
      <w:r w:rsidRPr="0049026D">
        <w:rPr>
          <w:rFonts w:ascii="Arial" w:hAnsi="Arial" w:cs="Arial"/>
        </w:rPr>
        <w:t>Prog</w:t>
      </w:r>
      <w:r w:rsidR="00BC3229">
        <w:rPr>
          <w:rFonts w:ascii="Arial" w:hAnsi="Arial" w:cs="Arial"/>
        </w:rPr>
        <w:t>i</w:t>
      </w:r>
      <w:r w:rsidRPr="0049026D">
        <w:rPr>
          <w:rFonts w:ascii="Arial" w:hAnsi="Arial" w:cs="Arial"/>
        </w:rPr>
        <w:t xml:space="preserve"> št. 80 </w:t>
      </w:r>
      <w:proofErr w:type="spellStart"/>
      <w:r w:rsidRPr="0049026D">
        <w:rPr>
          <w:rFonts w:ascii="Arial" w:hAnsi="Arial" w:cs="Arial"/>
        </w:rPr>
        <w:t>d.m</w:t>
      </w:r>
      <w:proofErr w:type="spellEnd"/>
      <w:r w:rsidRPr="0049026D">
        <w:rPr>
          <w:rFonts w:ascii="Arial" w:hAnsi="Arial" w:cs="Arial"/>
        </w:rPr>
        <w:t xml:space="preserve">.-Metlika-Ljubljana </w:t>
      </w:r>
      <w:r w:rsidR="00BC3229">
        <w:rPr>
          <w:rFonts w:ascii="Arial" w:hAnsi="Arial" w:cs="Arial"/>
        </w:rPr>
        <w:t>in št. 81 Sevnica</w:t>
      </w:r>
      <w:r w:rsidR="00786D3A">
        <w:rPr>
          <w:rFonts w:ascii="Arial" w:hAnsi="Arial" w:cs="Arial"/>
        </w:rPr>
        <w:t>-</w:t>
      </w:r>
      <w:r w:rsidR="00BC3229">
        <w:rPr>
          <w:rFonts w:ascii="Arial" w:hAnsi="Arial" w:cs="Arial"/>
        </w:rPr>
        <w:t xml:space="preserve">Trebnje </w:t>
      </w:r>
      <w:r w:rsidR="00F7196E">
        <w:rPr>
          <w:rFonts w:ascii="Arial" w:hAnsi="Arial" w:cs="Arial"/>
        </w:rPr>
        <w:t>sta</w:t>
      </w:r>
      <w:r w:rsidR="00BC3229">
        <w:rPr>
          <w:rFonts w:ascii="Arial" w:hAnsi="Arial" w:cs="Arial"/>
        </w:rPr>
        <w:t xml:space="preserve"> trenutno opremljen</w:t>
      </w:r>
      <w:r w:rsidR="00F7196E">
        <w:rPr>
          <w:rFonts w:ascii="Arial" w:hAnsi="Arial" w:cs="Arial"/>
        </w:rPr>
        <w:t xml:space="preserve">i </w:t>
      </w:r>
      <w:r w:rsidR="00BC3229">
        <w:rPr>
          <w:rFonts w:ascii="Arial" w:hAnsi="Arial" w:cs="Arial"/>
        </w:rPr>
        <w:t xml:space="preserve"> z zastarelimi relejnimi in mehanskimi signalnovarnostnimi napravami. Progi sta enotirni in </w:t>
      </w:r>
      <w:proofErr w:type="spellStart"/>
      <w:r w:rsidR="00BC3229">
        <w:rPr>
          <w:rFonts w:ascii="Arial" w:hAnsi="Arial" w:cs="Arial"/>
        </w:rPr>
        <w:t>neelektrificirani</w:t>
      </w:r>
      <w:proofErr w:type="spellEnd"/>
      <w:r w:rsidR="002602F7" w:rsidRPr="0049026D">
        <w:rPr>
          <w:rFonts w:ascii="Arial" w:hAnsi="Arial" w:cs="Arial"/>
        </w:rPr>
        <w:t>.</w:t>
      </w:r>
      <w:r w:rsidR="00786D3A">
        <w:rPr>
          <w:rFonts w:ascii="Arial" w:hAnsi="Arial" w:cs="Arial"/>
        </w:rPr>
        <w:t xml:space="preserve"> Preglednica vseh prometnih mest </w:t>
      </w:r>
      <w:r w:rsidR="00F7196E">
        <w:rPr>
          <w:rFonts w:ascii="Arial" w:hAnsi="Arial" w:cs="Arial"/>
        </w:rPr>
        <w:t xml:space="preserve">za obe progi </w:t>
      </w:r>
      <w:r w:rsidR="00786D3A">
        <w:rPr>
          <w:rFonts w:ascii="Arial" w:hAnsi="Arial" w:cs="Arial"/>
        </w:rPr>
        <w:t>(postaj</w:t>
      </w:r>
      <w:r w:rsidR="00F7196E">
        <w:rPr>
          <w:rFonts w:ascii="Arial" w:hAnsi="Arial" w:cs="Arial"/>
        </w:rPr>
        <w:t>e</w:t>
      </w:r>
      <w:r w:rsidR="00786D3A">
        <w:rPr>
          <w:rFonts w:ascii="Arial" w:hAnsi="Arial" w:cs="Arial"/>
        </w:rPr>
        <w:t xml:space="preserve"> in postajališč</w:t>
      </w:r>
      <w:r w:rsidR="00F7196E">
        <w:rPr>
          <w:rFonts w:ascii="Arial" w:hAnsi="Arial" w:cs="Arial"/>
        </w:rPr>
        <w:t>a</w:t>
      </w:r>
      <w:r w:rsidR="00786D3A">
        <w:rPr>
          <w:rFonts w:ascii="Arial" w:hAnsi="Arial" w:cs="Arial"/>
        </w:rPr>
        <w:t>) s podatki o številu kretnic in tirov se nahaja v prilogi</w:t>
      </w:r>
      <w:r w:rsidR="00F7196E">
        <w:rPr>
          <w:rFonts w:ascii="Arial" w:hAnsi="Arial" w:cs="Arial"/>
        </w:rPr>
        <w:t xml:space="preserve"> I</w:t>
      </w:r>
      <w:r w:rsidR="00786D3A">
        <w:rPr>
          <w:rFonts w:ascii="Arial" w:hAnsi="Arial" w:cs="Arial"/>
        </w:rPr>
        <w:t>.</w:t>
      </w:r>
    </w:p>
    <w:p w:rsidR="00786D3A" w:rsidRDefault="00786D3A" w:rsidP="00786D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progi </w:t>
      </w:r>
      <w:r w:rsidRPr="0049026D">
        <w:rPr>
          <w:rFonts w:ascii="Arial" w:hAnsi="Arial" w:cs="Arial"/>
        </w:rPr>
        <w:t xml:space="preserve">št. 80 </w:t>
      </w:r>
      <w:proofErr w:type="spellStart"/>
      <w:r w:rsidRPr="0049026D">
        <w:rPr>
          <w:rFonts w:ascii="Arial" w:hAnsi="Arial" w:cs="Arial"/>
        </w:rPr>
        <w:t>d.m</w:t>
      </w:r>
      <w:proofErr w:type="spellEnd"/>
      <w:r w:rsidRPr="0049026D">
        <w:rPr>
          <w:rFonts w:ascii="Arial" w:hAnsi="Arial" w:cs="Arial"/>
        </w:rPr>
        <w:t>.-Metlika-Ljubljana</w:t>
      </w:r>
      <w:r>
        <w:rPr>
          <w:rFonts w:ascii="Arial" w:hAnsi="Arial" w:cs="Arial"/>
        </w:rPr>
        <w:t xml:space="preserve"> je skupno 150 križanj cest z železnico, od tega je 36 zavarovanih z relejno tehniko in 6 </w:t>
      </w:r>
      <w:r w:rsidR="008338A6">
        <w:rPr>
          <w:rFonts w:ascii="Arial" w:hAnsi="Arial" w:cs="Arial"/>
        </w:rPr>
        <w:t xml:space="preserve">zavarovanih </w:t>
      </w:r>
      <w:r>
        <w:rPr>
          <w:rFonts w:ascii="Arial" w:hAnsi="Arial" w:cs="Arial"/>
        </w:rPr>
        <w:t>z mehanskimi zapornicami.</w:t>
      </w:r>
    </w:p>
    <w:p w:rsidR="00786D3A" w:rsidRDefault="00786D3A" w:rsidP="00786D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progi št. 81 Sevnica-Trebnje</w:t>
      </w:r>
      <w:r w:rsidRPr="00786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skupno 50 križanj cest z železnico, od tega je 11 zavarovanih z relejno tehniko.</w:t>
      </w:r>
    </w:p>
    <w:p w:rsidR="00786D3A" w:rsidRDefault="00786D3A" w:rsidP="0049026D">
      <w:pPr>
        <w:spacing w:after="0" w:line="240" w:lineRule="auto"/>
        <w:rPr>
          <w:rFonts w:ascii="Arial" w:hAnsi="Arial" w:cs="Arial"/>
        </w:rPr>
      </w:pPr>
    </w:p>
    <w:p w:rsidR="00D67A9B" w:rsidRDefault="00C65B82" w:rsidP="0049026D">
      <w:pPr>
        <w:spacing w:after="0" w:line="240" w:lineRule="auto"/>
        <w:jc w:val="both"/>
        <w:rPr>
          <w:rFonts w:ascii="Arial" w:hAnsi="Arial" w:cs="Arial"/>
        </w:rPr>
      </w:pPr>
      <w:r w:rsidRPr="0049026D">
        <w:rPr>
          <w:rFonts w:ascii="Arial" w:hAnsi="Arial" w:cs="Arial"/>
        </w:rPr>
        <w:t xml:space="preserve">PREDVIDENO BODOČE STANJE: </w:t>
      </w:r>
    </w:p>
    <w:p w:rsidR="004D3DBE" w:rsidRDefault="00786D3A" w:rsidP="00837B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Predvideno je zavarovanje postajnih signalnovarnostnih naprav </w:t>
      </w:r>
      <w:r w:rsidR="00837B0E">
        <w:rPr>
          <w:rFonts w:ascii="Arial" w:hAnsi="Arial" w:cs="Arial"/>
        </w:rPr>
        <w:t xml:space="preserve">(brez postaj Ljubljana in Sevnica) ter </w:t>
      </w:r>
      <w:r>
        <w:rPr>
          <w:rFonts w:ascii="Arial" w:hAnsi="Arial" w:cs="Arial"/>
        </w:rPr>
        <w:t>nivojskih prehodov v elektronski tehniki pod naslednjimi robnimi pogoji:</w:t>
      </w:r>
    </w:p>
    <w:p w:rsidR="00786D3A" w:rsidRDefault="00786D3A" w:rsidP="0049026D">
      <w:pPr>
        <w:spacing w:after="0" w:line="240" w:lineRule="auto"/>
        <w:jc w:val="both"/>
        <w:rPr>
          <w:rFonts w:ascii="Arial" w:hAnsi="Arial" w:cs="Arial"/>
        </w:rPr>
      </w:pPr>
    </w:p>
    <w:p w:rsidR="0049026D" w:rsidRPr="0049026D" w:rsidRDefault="00D67A9B" w:rsidP="0049026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Daljinsko vodenje prometa</w:t>
      </w:r>
    </w:p>
    <w:p w:rsidR="00786D3A" w:rsidRDefault="002602F7" w:rsidP="0049026D">
      <w:pPr>
        <w:spacing w:after="0" w:line="240" w:lineRule="auto"/>
        <w:jc w:val="both"/>
        <w:rPr>
          <w:rFonts w:ascii="Arial" w:hAnsi="Arial" w:cs="Arial"/>
        </w:rPr>
      </w:pPr>
      <w:r w:rsidRPr="0049026D">
        <w:rPr>
          <w:rFonts w:ascii="Arial" w:hAnsi="Arial" w:cs="Arial"/>
        </w:rPr>
        <w:t xml:space="preserve">Lokalna delovna mesta </w:t>
      </w:r>
      <w:r w:rsidR="00EE296E" w:rsidRPr="0049026D">
        <w:rPr>
          <w:rFonts w:ascii="Arial" w:hAnsi="Arial" w:cs="Arial"/>
        </w:rPr>
        <w:t>prometnega</w:t>
      </w:r>
      <w:r w:rsidRPr="0049026D">
        <w:rPr>
          <w:rFonts w:ascii="Arial" w:hAnsi="Arial" w:cs="Arial"/>
        </w:rPr>
        <w:t xml:space="preserve"> osebja </w:t>
      </w:r>
      <w:r w:rsidR="00EE296E" w:rsidRPr="0049026D">
        <w:rPr>
          <w:rFonts w:ascii="Arial" w:hAnsi="Arial" w:cs="Arial"/>
        </w:rPr>
        <w:t xml:space="preserve">za </w:t>
      </w:r>
      <w:r w:rsidRPr="0049026D">
        <w:rPr>
          <w:rFonts w:ascii="Arial" w:hAnsi="Arial" w:cs="Arial"/>
        </w:rPr>
        <w:t xml:space="preserve">javljanje in posluževanje </w:t>
      </w:r>
      <w:r w:rsidR="00EE296E" w:rsidRPr="0049026D">
        <w:rPr>
          <w:rFonts w:ascii="Arial" w:hAnsi="Arial" w:cs="Arial"/>
        </w:rPr>
        <w:t>po posameznih postajah</w:t>
      </w:r>
      <w:r w:rsidR="00786D3A">
        <w:rPr>
          <w:rFonts w:ascii="Arial" w:hAnsi="Arial" w:cs="Arial"/>
        </w:rPr>
        <w:t xml:space="preserve"> (prometnih mestih)</w:t>
      </w:r>
      <w:r w:rsidR="00EE296E" w:rsidRPr="0049026D">
        <w:rPr>
          <w:rFonts w:ascii="Arial" w:hAnsi="Arial" w:cs="Arial"/>
        </w:rPr>
        <w:t xml:space="preserve"> </w:t>
      </w:r>
      <w:r w:rsidRPr="0049026D">
        <w:rPr>
          <w:rFonts w:ascii="Arial" w:hAnsi="Arial" w:cs="Arial"/>
        </w:rPr>
        <w:t>niso predvidena.</w:t>
      </w:r>
      <w:r w:rsidR="0049026D" w:rsidRPr="0049026D">
        <w:rPr>
          <w:rFonts w:ascii="Arial" w:hAnsi="Arial" w:cs="Arial"/>
        </w:rPr>
        <w:t xml:space="preserve"> Postavljanje vlakovnih in premikalnih voznih poti </w:t>
      </w:r>
      <w:r w:rsidR="00786D3A">
        <w:rPr>
          <w:rFonts w:ascii="Arial" w:hAnsi="Arial" w:cs="Arial"/>
        </w:rPr>
        <w:t xml:space="preserve">ter nadzor </w:t>
      </w:r>
      <w:r w:rsidR="0049026D" w:rsidRPr="0049026D">
        <w:rPr>
          <w:rFonts w:ascii="Arial" w:hAnsi="Arial" w:cs="Arial"/>
        </w:rPr>
        <w:t>bo</w:t>
      </w:r>
      <w:r w:rsidR="00786D3A">
        <w:rPr>
          <w:rFonts w:ascii="Arial" w:hAnsi="Arial" w:cs="Arial"/>
        </w:rPr>
        <w:t>do</w:t>
      </w:r>
      <w:r w:rsidR="0049026D" w:rsidRPr="0049026D">
        <w:rPr>
          <w:rFonts w:ascii="Arial" w:hAnsi="Arial" w:cs="Arial"/>
        </w:rPr>
        <w:t xml:space="preserve"> potekal</w:t>
      </w:r>
      <w:r w:rsidR="00786D3A">
        <w:rPr>
          <w:rFonts w:ascii="Arial" w:hAnsi="Arial" w:cs="Arial"/>
        </w:rPr>
        <w:t>i</w:t>
      </w:r>
      <w:r w:rsidR="0049026D" w:rsidRPr="0049026D">
        <w:rPr>
          <w:rFonts w:ascii="Arial" w:hAnsi="Arial" w:cs="Arial"/>
        </w:rPr>
        <w:t xml:space="preserve"> preko sistema za javljanje in posluževanje v </w:t>
      </w:r>
      <w:r w:rsidR="00786D3A">
        <w:rPr>
          <w:rFonts w:ascii="Arial" w:hAnsi="Arial" w:cs="Arial"/>
        </w:rPr>
        <w:t xml:space="preserve">lokalno oddaljenem </w:t>
      </w:r>
      <w:r w:rsidR="0049026D" w:rsidRPr="0049026D">
        <w:rPr>
          <w:rFonts w:ascii="Arial" w:hAnsi="Arial" w:cs="Arial"/>
        </w:rPr>
        <w:t>centru vodenja prometa</w:t>
      </w:r>
      <w:r w:rsidR="00786D3A">
        <w:rPr>
          <w:rFonts w:ascii="Arial" w:hAnsi="Arial" w:cs="Arial"/>
        </w:rPr>
        <w:t>.</w:t>
      </w:r>
    </w:p>
    <w:p w:rsidR="00E350B9" w:rsidRDefault="002602F7" w:rsidP="0049026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9026D">
        <w:rPr>
          <w:rFonts w:ascii="Arial" w:hAnsi="Arial" w:cs="Arial"/>
        </w:rPr>
        <w:t xml:space="preserve">Predvidena je priključitev vseh postaj </w:t>
      </w:r>
      <w:r w:rsidR="00786D3A">
        <w:rPr>
          <w:rFonts w:ascii="Arial" w:hAnsi="Arial" w:cs="Arial"/>
        </w:rPr>
        <w:t xml:space="preserve">obeh prog </w:t>
      </w:r>
      <w:r w:rsidRPr="0049026D">
        <w:rPr>
          <w:rFonts w:ascii="Arial" w:hAnsi="Arial" w:cs="Arial"/>
        </w:rPr>
        <w:t>za javljanje in posluževanje v center vodenja prometa v Ljubljani</w:t>
      </w:r>
      <w:r w:rsidR="00E350B9" w:rsidRPr="0049026D">
        <w:rPr>
          <w:rFonts w:ascii="Arial" w:hAnsi="Arial" w:cs="Arial"/>
        </w:rPr>
        <w:t xml:space="preserve">, kjer bo nameščen </w:t>
      </w:r>
      <w:r w:rsidRPr="0049026D">
        <w:rPr>
          <w:rFonts w:ascii="Arial" w:hAnsi="Arial" w:cs="Arial"/>
        </w:rPr>
        <w:t xml:space="preserve">sistem ILTIS proizvajalca Siemens. </w:t>
      </w:r>
      <w:r w:rsidR="00E350B9" w:rsidRPr="0049026D">
        <w:rPr>
          <w:rFonts w:ascii="Arial" w:hAnsi="Arial" w:cs="Arial"/>
        </w:rPr>
        <w:t xml:space="preserve">Za priključitev v center vodenja prometa so predvideni </w:t>
      </w:r>
      <w:r w:rsidR="00E350B9" w:rsidRPr="0049026D">
        <w:rPr>
          <w:rFonts w:ascii="Arial" w:hAnsi="Arial" w:cs="Arial"/>
          <w:color w:val="333333"/>
          <w:shd w:val="clear" w:color="auto" w:fill="FFFFFF"/>
        </w:rPr>
        <w:t>vmesniki EULYNX, saj se pričakuje, da bodo do objave javnega razpisa za izbor izvajalca definirani do te mere, da bo možna njihova implementacija.</w:t>
      </w:r>
    </w:p>
    <w:p w:rsidR="00D67A9B" w:rsidRPr="0049026D" w:rsidRDefault="00D67A9B" w:rsidP="0049026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02F7" w:rsidRDefault="00D67A9B" w:rsidP="00D67A9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Vmesnik</w:t>
      </w:r>
      <w:r w:rsidR="00786D3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postaj</w:t>
      </w:r>
      <w:r w:rsidR="00786D3A">
        <w:rPr>
          <w:rFonts w:ascii="Arial" w:hAnsi="Arial" w:cs="Arial"/>
        </w:rPr>
        <w:t xml:space="preserve">, zavarovanih relejno tehniko </w:t>
      </w:r>
      <w:r w:rsidR="00786D3A" w:rsidRPr="0049026D">
        <w:rPr>
          <w:rFonts w:ascii="Arial" w:hAnsi="Arial" w:cs="Arial"/>
        </w:rPr>
        <w:t>sistema Iskra – Lorenz SbL5</w:t>
      </w:r>
      <w:r w:rsidR="00786D3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Ljubljana</w:t>
      </w:r>
      <w:r w:rsidR="00FC4987">
        <w:rPr>
          <w:rFonts w:ascii="Arial" w:hAnsi="Arial" w:cs="Arial"/>
        </w:rPr>
        <w:t xml:space="preserve"> in Sevnica) ter vmesnik do postaje Dobrepolje, zavarovane z elektronsko tehniko proizvajalca Siemens </w:t>
      </w:r>
      <w:proofErr w:type="spellStart"/>
      <w:r w:rsidR="00FC4987">
        <w:rPr>
          <w:rFonts w:ascii="Arial" w:hAnsi="Arial" w:cs="Arial"/>
        </w:rPr>
        <w:t>Simis</w:t>
      </w:r>
      <w:proofErr w:type="spellEnd"/>
      <w:r w:rsidR="00FC4987">
        <w:rPr>
          <w:rFonts w:ascii="Arial" w:hAnsi="Arial" w:cs="Arial"/>
        </w:rPr>
        <w:t xml:space="preserve"> W.</w:t>
      </w:r>
      <w:r w:rsidR="00786D3A">
        <w:rPr>
          <w:rFonts w:ascii="Arial" w:hAnsi="Arial" w:cs="Arial"/>
        </w:rPr>
        <w:t xml:space="preserve"> </w:t>
      </w:r>
    </w:p>
    <w:p w:rsidR="00D67A9B" w:rsidRDefault="00D67A9B" w:rsidP="004F3C05">
      <w:pPr>
        <w:spacing w:after="0" w:line="240" w:lineRule="auto"/>
        <w:ind w:firstLine="360"/>
        <w:rPr>
          <w:rFonts w:ascii="Arial" w:hAnsi="Arial" w:cs="Arial"/>
        </w:rPr>
      </w:pPr>
    </w:p>
    <w:p w:rsidR="0049026D" w:rsidRDefault="00D67A9B" w:rsidP="0049026D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Kontrola zunanjih naprav</w:t>
      </w:r>
    </w:p>
    <w:p w:rsidR="004F3C05" w:rsidRDefault="004F3C05" w:rsidP="00873699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F3C05">
        <w:rPr>
          <w:rFonts w:ascii="Arial" w:hAnsi="Arial" w:cs="Arial"/>
        </w:rPr>
        <w:t xml:space="preserve">ed </w:t>
      </w:r>
      <w:r w:rsidR="0049026D" w:rsidRPr="004F3C05">
        <w:rPr>
          <w:rFonts w:ascii="Arial" w:hAnsi="Arial" w:cs="Arial"/>
        </w:rPr>
        <w:t>signali</w:t>
      </w:r>
    </w:p>
    <w:p w:rsidR="004F3C05" w:rsidRDefault="00FC4987" w:rsidP="00AC2C0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3C05">
        <w:rPr>
          <w:rFonts w:ascii="Arial" w:hAnsi="Arial" w:cs="Arial"/>
        </w:rPr>
        <w:t xml:space="preserve">hidravlične </w:t>
      </w:r>
      <w:r w:rsidR="004F3C05" w:rsidRPr="004F3C05">
        <w:rPr>
          <w:rFonts w:ascii="Arial" w:hAnsi="Arial" w:cs="Arial"/>
        </w:rPr>
        <w:t>k</w:t>
      </w:r>
      <w:r w:rsidR="0049026D" w:rsidRPr="004F3C05">
        <w:rPr>
          <w:rFonts w:ascii="Arial" w:hAnsi="Arial" w:cs="Arial"/>
        </w:rPr>
        <w:t xml:space="preserve">retnice </w:t>
      </w:r>
    </w:p>
    <w:p w:rsidR="0049026D" w:rsidRDefault="004F3C05" w:rsidP="00AC2C0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49026D" w:rsidRPr="004F3C05">
        <w:rPr>
          <w:rFonts w:ascii="Arial" w:hAnsi="Arial" w:cs="Arial"/>
        </w:rPr>
        <w:t>tevci osi</w:t>
      </w:r>
    </w:p>
    <w:p w:rsidR="00D67A9B" w:rsidRDefault="00D67A9B" w:rsidP="00D67A9B">
      <w:pPr>
        <w:pStyle w:val="Odstavekseznama"/>
        <w:spacing w:after="0" w:line="240" w:lineRule="auto"/>
        <w:rPr>
          <w:rFonts w:ascii="Arial" w:hAnsi="Arial" w:cs="Arial"/>
        </w:rPr>
      </w:pPr>
    </w:p>
    <w:p w:rsidR="004F3C05" w:rsidRDefault="00D67A9B" w:rsidP="004F3C05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Zavarovanje križanj ceste z železnico</w:t>
      </w:r>
      <w:r w:rsidR="004F3C0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nivojski prehodi</w:t>
      </w:r>
    </w:p>
    <w:p w:rsidR="00D67A9B" w:rsidRDefault="00D67A9B" w:rsidP="00833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</w:t>
      </w:r>
      <w:r w:rsidR="008338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</w:t>
      </w:r>
      <w:r w:rsidR="008338A6">
        <w:rPr>
          <w:rFonts w:ascii="Arial" w:hAnsi="Arial" w:cs="Arial"/>
        </w:rPr>
        <w:t xml:space="preserve">zamenjava krmilne avtomatike in zunanjih naprav na 52 že zavarovanih nivojskih križanjih in dodatno </w:t>
      </w:r>
      <w:r>
        <w:rPr>
          <w:rFonts w:ascii="Arial" w:hAnsi="Arial" w:cs="Arial"/>
        </w:rPr>
        <w:t xml:space="preserve">novo zavarovanje </w:t>
      </w:r>
      <w:r w:rsidR="008338A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nivojskih </w:t>
      </w:r>
      <w:r w:rsidR="008338A6">
        <w:rPr>
          <w:rFonts w:ascii="Arial" w:hAnsi="Arial" w:cs="Arial"/>
        </w:rPr>
        <w:t xml:space="preserve">križanj. </w:t>
      </w:r>
      <w:r>
        <w:rPr>
          <w:rFonts w:ascii="Arial" w:hAnsi="Arial" w:cs="Arial"/>
        </w:rPr>
        <w:t xml:space="preserve"> </w:t>
      </w:r>
      <w:r w:rsidR="008338A6">
        <w:rPr>
          <w:rFonts w:ascii="Arial" w:hAnsi="Arial" w:cs="Arial"/>
        </w:rPr>
        <w:t>Kot izredno posluževanje je predvidena m</w:t>
      </w:r>
      <w:r>
        <w:rPr>
          <w:rFonts w:ascii="Arial" w:hAnsi="Arial" w:cs="Arial"/>
        </w:rPr>
        <w:t xml:space="preserve">ožnost ročnega postavljanja </w:t>
      </w:r>
      <w:r w:rsidR="008338A6">
        <w:rPr>
          <w:rFonts w:ascii="Arial" w:hAnsi="Arial" w:cs="Arial"/>
        </w:rPr>
        <w:t xml:space="preserve">zavarovanja </w:t>
      </w:r>
      <w:r>
        <w:rPr>
          <w:rFonts w:ascii="Arial" w:hAnsi="Arial" w:cs="Arial"/>
        </w:rPr>
        <w:t>iz centra vodenja prometa.</w:t>
      </w:r>
    </w:p>
    <w:p w:rsidR="00C65B82" w:rsidRPr="00D67A9B" w:rsidRDefault="00C65B82" w:rsidP="00D67A9B">
      <w:pPr>
        <w:spacing w:after="0" w:line="240" w:lineRule="auto"/>
        <w:rPr>
          <w:rFonts w:ascii="Arial" w:hAnsi="Arial" w:cs="Arial"/>
        </w:rPr>
      </w:pPr>
    </w:p>
    <w:p w:rsidR="004F3C05" w:rsidRPr="00D67A9B" w:rsidRDefault="00C65B82" w:rsidP="00D67A9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ZAINTERESIRANI GOSPODARSKI SUBJEKTI</w:t>
      </w:r>
    </w:p>
    <w:p w:rsidR="003E0A43" w:rsidRDefault="00D67A9B" w:rsidP="003E0A43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3E0A43">
        <w:rPr>
          <w:rFonts w:ascii="Arial" w:eastAsia="Times New Roman" w:hAnsi="Arial" w:cs="Times New Roman"/>
        </w:rPr>
        <w:t xml:space="preserve">Naročnik </w:t>
      </w:r>
      <w:r w:rsidRPr="00D67A9B">
        <w:rPr>
          <w:rFonts w:ascii="Arial" w:eastAsia="Times New Roman" w:hAnsi="Arial" w:cs="Times New Roman"/>
        </w:rPr>
        <w:t xml:space="preserve">prosi zainteresirane gospodarske subjekte za njihovo oceno in predloge v povezavi s pripravo </w:t>
      </w:r>
      <w:r w:rsidRPr="003E0A43">
        <w:rPr>
          <w:rFonts w:ascii="Arial" w:eastAsia="Times New Roman" w:hAnsi="Arial" w:cs="Times New Roman"/>
        </w:rPr>
        <w:t xml:space="preserve">razpisne </w:t>
      </w:r>
      <w:r w:rsidRPr="00D67A9B">
        <w:rPr>
          <w:rFonts w:ascii="Arial" w:eastAsia="Times New Roman" w:hAnsi="Arial" w:cs="Times New Roman"/>
        </w:rPr>
        <w:t xml:space="preserve">dokumentacije </w:t>
      </w:r>
      <w:r w:rsidRPr="003E0A43">
        <w:rPr>
          <w:rFonts w:ascii="Arial" w:eastAsia="Times New Roman" w:hAnsi="Arial" w:cs="Times New Roman"/>
        </w:rPr>
        <w:t>za</w:t>
      </w:r>
      <w:r w:rsidRPr="00D67A9B">
        <w:rPr>
          <w:rFonts w:ascii="Arial" w:eastAsia="Times New Roman" w:hAnsi="Arial" w:cs="Times New Roman"/>
        </w:rPr>
        <w:t xml:space="preserve"> oddajo javnega naročila za »Oprema regionalne proge št. 80 </w:t>
      </w:r>
      <w:proofErr w:type="spellStart"/>
      <w:r w:rsidRPr="00D67A9B">
        <w:rPr>
          <w:rFonts w:ascii="Arial" w:eastAsia="Times New Roman" w:hAnsi="Arial" w:cs="Times New Roman"/>
        </w:rPr>
        <w:t>d.m</w:t>
      </w:r>
      <w:proofErr w:type="spellEnd"/>
      <w:r w:rsidRPr="00D67A9B">
        <w:rPr>
          <w:rFonts w:ascii="Arial" w:eastAsia="Times New Roman" w:hAnsi="Arial" w:cs="Times New Roman"/>
        </w:rPr>
        <w:t xml:space="preserve">.-Metlika-Ljubljana </w:t>
      </w:r>
      <w:r w:rsidR="008338A6">
        <w:rPr>
          <w:rFonts w:ascii="Arial" w:eastAsia="Times New Roman" w:hAnsi="Arial" w:cs="Times New Roman"/>
        </w:rPr>
        <w:t xml:space="preserve">in št. </w:t>
      </w:r>
      <w:r w:rsidR="008338A6">
        <w:rPr>
          <w:rFonts w:ascii="Arial" w:hAnsi="Arial" w:cs="Arial"/>
        </w:rPr>
        <w:t>81 Sevnica-Trebnje</w:t>
      </w:r>
      <w:r w:rsidRPr="00D67A9B">
        <w:rPr>
          <w:rFonts w:ascii="Arial" w:eastAsia="Times New Roman" w:hAnsi="Arial" w:cs="Times New Roman"/>
        </w:rPr>
        <w:t>« glede</w:t>
      </w:r>
      <w:r w:rsidR="003E0A43">
        <w:rPr>
          <w:rFonts w:ascii="Arial" w:eastAsia="Times New Roman" w:hAnsi="Arial" w:cs="Times New Roman"/>
        </w:rPr>
        <w:t>:</w:t>
      </w:r>
    </w:p>
    <w:p w:rsidR="003E0A43" w:rsidRDefault="003E0A43" w:rsidP="003E0A4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94142C" w:rsidRPr="003E0A43" w:rsidRDefault="003E0A43" w:rsidP="0069652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E0A43">
        <w:rPr>
          <w:rFonts w:ascii="Arial" w:hAnsi="Arial" w:cs="Arial"/>
        </w:rPr>
        <w:t xml:space="preserve">tehničnih specifikacij </w:t>
      </w:r>
      <w:r w:rsidR="008338A6">
        <w:rPr>
          <w:rFonts w:ascii="Arial" w:hAnsi="Arial" w:cs="Arial"/>
        </w:rPr>
        <w:t xml:space="preserve">(opis) </w:t>
      </w:r>
      <w:r w:rsidRPr="003E0A43">
        <w:rPr>
          <w:rFonts w:ascii="Arial" w:hAnsi="Arial" w:cs="Arial"/>
        </w:rPr>
        <w:t>sistema kot na primer:</w:t>
      </w:r>
      <w:r w:rsidR="0094142C" w:rsidRPr="003E0A43">
        <w:rPr>
          <w:rFonts w:ascii="Arial" w:hAnsi="Arial" w:cs="Arial"/>
        </w:rPr>
        <w:t> </w:t>
      </w:r>
    </w:p>
    <w:p w:rsidR="003E0A43" w:rsidRPr="0049026D" w:rsidRDefault="00C65B82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0A43" w:rsidRPr="0049026D">
        <w:rPr>
          <w:rFonts w:ascii="Arial" w:hAnsi="Arial" w:cs="Arial"/>
        </w:rPr>
        <w:t>onfiguracija - arhitektura sistema (npr. 2 od 3, 2 od 2, PLC…)</w:t>
      </w:r>
    </w:p>
    <w:p w:rsidR="00C65F3B" w:rsidRPr="003E0A43" w:rsidRDefault="00C65B82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0A43">
        <w:rPr>
          <w:rFonts w:ascii="Arial" w:hAnsi="Arial" w:cs="Arial"/>
        </w:rPr>
        <w:t>ratek opis programske opreme</w:t>
      </w:r>
    </w:p>
    <w:p w:rsidR="00C65F3B" w:rsidRPr="0049026D" w:rsidRDefault="00C65B82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0A43">
        <w:rPr>
          <w:rFonts w:ascii="Arial" w:hAnsi="Arial" w:cs="Arial"/>
        </w:rPr>
        <w:t>pisa n</w:t>
      </w:r>
      <w:r w:rsidR="00C65F3B" w:rsidRPr="0049026D">
        <w:rPr>
          <w:rFonts w:ascii="Arial" w:hAnsi="Arial" w:cs="Arial"/>
        </w:rPr>
        <w:t>ivo</w:t>
      </w:r>
      <w:r w:rsidR="003E0A43">
        <w:rPr>
          <w:rFonts w:ascii="Arial" w:hAnsi="Arial" w:cs="Arial"/>
        </w:rPr>
        <w:t>ja</w:t>
      </w:r>
      <w:r w:rsidR="00C65F3B" w:rsidRPr="0049026D">
        <w:rPr>
          <w:rFonts w:ascii="Arial" w:hAnsi="Arial" w:cs="Arial"/>
        </w:rPr>
        <w:t xml:space="preserve"> varnosti SIL</w:t>
      </w:r>
      <w:r w:rsidR="004D3DBE" w:rsidRPr="0049026D">
        <w:rPr>
          <w:rFonts w:ascii="Arial" w:hAnsi="Arial" w:cs="Arial"/>
        </w:rPr>
        <w:t xml:space="preserve"> za sistem kot celota (zunanje in notranje naprave)</w:t>
      </w:r>
    </w:p>
    <w:p w:rsidR="00CB1E7D" w:rsidRDefault="00C65B82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1E7D" w:rsidRPr="0049026D">
        <w:rPr>
          <w:rFonts w:ascii="Arial" w:hAnsi="Arial" w:cs="Arial"/>
        </w:rPr>
        <w:t>zpolnjevanje zahtev CENELEC</w:t>
      </w:r>
      <w:r w:rsidR="003E0A43">
        <w:rPr>
          <w:rFonts w:ascii="Arial" w:hAnsi="Arial" w:cs="Arial"/>
        </w:rPr>
        <w:t xml:space="preserve"> in ostalih standardov ter tehničnih zahtev</w:t>
      </w:r>
    </w:p>
    <w:p w:rsidR="008338A6" w:rsidRDefault="008338A6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maksimalne hitrosti vlakov</w:t>
      </w:r>
    </w:p>
    <w:p w:rsidR="005E7EC6" w:rsidRDefault="005E7EC6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možnost naknadne vgradnje avtomatskih progovnih blokov</w:t>
      </w:r>
    </w:p>
    <w:p w:rsidR="008338A6" w:rsidRPr="0049026D" w:rsidRDefault="008338A6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ustreznost za elektrificirane in/ali </w:t>
      </w:r>
      <w:proofErr w:type="spellStart"/>
      <w:r>
        <w:rPr>
          <w:rFonts w:ascii="Arial" w:hAnsi="Arial" w:cs="Arial"/>
        </w:rPr>
        <w:t>neelektrificirane</w:t>
      </w:r>
      <w:proofErr w:type="spellEnd"/>
      <w:r>
        <w:rPr>
          <w:rFonts w:ascii="Arial" w:hAnsi="Arial" w:cs="Arial"/>
        </w:rPr>
        <w:t xml:space="preserve"> proge</w:t>
      </w:r>
    </w:p>
    <w:p w:rsidR="00CB1E7D" w:rsidRDefault="00C65B82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4D3DBE" w:rsidRPr="003E0A43">
        <w:rPr>
          <w:rFonts w:ascii="Arial" w:hAnsi="Arial" w:cs="Arial"/>
          <w:color w:val="000000" w:themeColor="text1"/>
        </w:rPr>
        <w:t>ožnosti n</w:t>
      </w:r>
      <w:r w:rsidR="00CB1E7D" w:rsidRPr="003E0A43">
        <w:rPr>
          <w:rFonts w:ascii="Arial" w:hAnsi="Arial" w:cs="Arial"/>
          <w:color w:val="000000" w:themeColor="text1"/>
        </w:rPr>
        <w:t xml:space="preserve">adgradnja s sistemom ETCS </w:t>
      </w:r>
      <w:r w:rsidR="005E7EC6">
        <w:rPr>
          <w:rFonts w:ascii="Arial" w:hAnsi="Arial" w:cs="Arial"/>
          <w:color w:val="000000" w:themeColor="text1"/>
        </w:rPr>
        <w:t xml:space="preserve">nivoja </w:t>
      </w:r>
      <w:r w:rsidR="00CB1E7D" w:rsidRPr="003E0A43">
        <w:rPr>
          <w:rFonts w:ascii="Arial" w:hAnsi="Arial" w:cs="Arial"/>
          <w:color w:val="000000" w:themeColor="text1"/>
        </w:rPr>
        <w:t>1</w:t>
      </w:r>
      <w:r w:rsidR="0022064A">
        <w:rPr>
          <w:rFonts w:ascii="Arial" w:hAnsi="Arial" w:cs="Arial"/>
          <w:color w:val="000000" w:themeColor="text1"/>
        </w:rPr>
        <w:t>,</w:t>
      </w:r>
    </w:p>
    <w:p w:rsidR="0022064A" w:rsidRPr="003E0A43" w:rsidRDefault="0022064A" w:rsidP="003E0A43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predvidenega sistema vzdrževanja in postopkov nadgradenj signalnovarnostnih naprav</w:t>
      </w:r>
      <w:r w:rsidR="00BF1FD3">
        <w:rPr>
          <w:rFonts w:ascii="Arial" w:hAnsi="Arial" w:cs="Arial"/>
          <w:color w:val="000000" w:themeColor="text1"/>
        </w:rPr>
        <w:t>,</w:t>
      </w:r>
    </w:p>
    <w:p w:rsidR="003E0A43" w:rsidRPr="003E0A43" w:rsidRDefault="003E0A43" w:rsidP="003E0A43">
      <w:pPr>
        <w:pStyle w:val="Odstavekseznama"/>
        <w:spacing w:after="0" w:line="240" w:lineRule="auto"/>
        <w:rPr>
          <w:rFonts w:ascii="Arial" w:hAnsi="Arial" w:cs="Arial"/>
          <w:color w:val="000000" w:themeColor="text1"/>
        </w:rPr>
      </w:pPr>
    </w:p>
    <w:p w:rsidR="003E0A43" w:rsidRDefault="00C65B82" w:rsidP="003E0A4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>z</w:t>
      </w:r>
      <w:r w:rsidR="003E0A43" w:rsidRPr="003E0A43">
        <w:rPr>
          <w:rFonts w:ascii="Arial" w:hAnsi="Arial" w:cs="Arial"/>
          <w:color w:val="000000" w:themeColor="text1"/>
          <w:szCs w:val="20"/>
          <w:lang w:eastAsia="sl-SI"/>
        </w:rPr>
        <w:t>ahtev</w:t>
      </w:r>
      <w:r w:rsidR="003E0A43">
        <w:rPr>
          <w:rFonts w:ascii="Arial" w:hAnsi="Arial" w:cs="Arial"/>
          <w:color w:val="000000" w:themeColor="text1"/>
          <w:szCs w:val="20"/>
          <w:lang w:eastAsia="sl-SI"/>
        </w:rPr>
        <w:t xml:space="preserve">e za kader </w:t>
      </w:r>
      <w:r w:rsidR="003E0A43" w:rsidRPr="003E0A43">
        <w:rPr>
          <w:rFonts w:ascii="Arial" w:hAnsi="Arial" w:cs="Arial"/>
          <w:color w:val="000000" w:themeColor="text1"/>
          <w:szCs w:val="20"/>
          <w:lang w:eastAsia="sl-SI"/>
        </w:rPr>
        <w:t xml:space="preserve">in </w:t>
      </w:r>
      <w:r w:rsidR="003E0A43">
        <w:rPr>
          <w:rFonts w:ascii="Arial" w:hAnsi="Arial" w:cs="Arial"/>
          <w:color w:val="000000" w:themeColor="text1"/>
          <w:szCs w:val="20"/>
          <w:lang w:eastAsia="sl-SI"/>
        </w:rPr>
        <w:t xml:space="preserve">za </w:t>
      </w:r>
      <w:r w:rsidR="003E0A43" w:rsidRPr="003E0A43">
        <w:rPr>
          <w:rFonts w:ascii="Arial" w:hAnsi="Arial" w:cs="Arial"/>
          <w:color w:val="000000" w:themeColor="text1"/>
          <w:szCs w:val="20"/>
          <w:lang w:eastAsia="sl-SI"/>
        </w:rPr>
        <w:t>referenc</w:t>
      </w:r>
      <w:r w:rsidR="003E0A43">
        <w:rPr>
          <w:rFonts w:ascii="Arial" w:hAnsi="Arial" w:cs="Arial"/>
          <w:color w:val="000000" w:themeColor="text1"/>
          <w:szCs w:val="20"/>
          <w:lang w:eastAsia="sl-SI"/>
        </w:rPr>
        <w:t>e že vgrajenih naprav</w:t>
      </w:r>
      <w:r w:rsidR="00BF1FD3">
        <w:rPr>
          <w:rFonts w:ascii="Arial" w:hAnsi="Arial" w:cs="Arial"/>
          <w:color w:val="000000" w:themeColor="text1"/>
          <w:szCs w:val="20"/>
          <w:lang w:eastAsia="sl-SI"/>
        </w:rPr>
        <w:t>,</w:t>
      </w:r>
      <w:r w:rsidR="003E0A43">
        <w:rPr>
          <w:rFonts w:ascii="Arial" w:hAnsi="Arial" w:cs="Arial"/>
          <w:color w:val="000000" w:themeColor="text1"/>
          <w:szCs w:val="20"/>
          <w:lang w:eastAsia="sl-SI"/>
        </w:rPr>
        <w:t xml:space="preserve"> </w:t>
      </w:r>
    </w:p>
    <w:p w:rsidR="003E0A43" w:rsidRPr="00C65B82" w:rsidRDefault="003E0A43" w:rsidP="003E0A43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</w:p>
    <w:p w:rsidR="004D3DBE" w:rsidRPr="00C65B82" w:rsidRDefault="004D3DBE" w:rsidP="00C65B8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65B82">
        <w:rPr>
          <w:rFonts w:ascii="Arial" w:hAnsi="Arial" w:cs="Arial"/>
          <w:color w:val="000000" w:themeColor="text1"/>
        </w:rPr>
        <w:t>predvidenega obsega in časovne razporeditve aktivnosti</w:t>
      </w:r>
      <w:r w:rsidR="008338A6">
        <w:rPr>
          <w:rFonts w:ascii="Arial" w:hAnsi="Arial" w:cs="Arial"/>
          <w:color w:val="000000" w:themeColor="text1"/>
        </w:rPr>
        <w:t xml:space="preserve">, ki naj vključuje tudi oceno časa, potrebnega za prilagoditev naprav specifičnim nacionalnim predpisom (testni </w:t>
      </w:r>
      <w:r w:rsidR="005E7EC6">
        <w:rPr>
          <w:rFonts w:ascii="Arial" w:hAnsi="Arial" w:cs="Arial"/>
          <w:color w:val="000000" w:themeColor="text1"/>
        </w:rPr>
        <w:t>poligon</w:t>
      </w:r>
      <w:r w:rsidR="008338A6">
        <w:rPr>
          <w:rFonts w:ascii="Arial" w:hAnsi="Arial" w:cs="Arial"/>
          <w:color w:val="000000" w:themeColor="text1"/>
        </w:rPr>
        <w:t>)</w:t>
      </w:r>
      <w:r w:rsidR="00BF1FD3">
        <w:rPr>
          <w:rFonts w:ascii="Arial" w:hAnsi="Arial" w:cs="Arial"/>
          <w:color w:val="000000" w:themeColor="text1"/>
        </w:rPr>
        <w:t>,</w:t>
      </w:r>
    </w:p>
    <w:p w:rsidR="003E0A43" w:rsidRPr="003E0A43" w:rsidRDefault="003E0A43" w:rsidP="003E0A43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</w:p>
    <w:p w:rsidR="004D3DBE" w:rsidRDefault="004D3DBE" w:rsidP="003E0A4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 w:rsidRPr="003E0A43">
        <w:rPr>
          <w:rFonts w:ascii="Arial" w:hAnsi="Arial" w:cs="Arial"/>
          <w:color w:val="000000" w:themeColor="text1"/>
          <w:szCs w:val="20"/>
          <w:lang w:eastAsia="sl-SI"/>
        </w:rPr>
        <w:t xml:space="preserve">dolžine roka za oddajo ponudbe in drugih morebitnih </w:t>
      </w:r>
      <w:r w:rsidR="003E0A43">
        <w:rPr>
          <w:rFonts w:ascii="Arial" w:hAnsi="Arial" w:cs="Arial"/>
          <w:color w:val="000000" w:themeColor="text1"/>
          <w:szCs w:val="20"/>
          <w:lang w:eastAsia="sl-SI"/>
        </w:rPr>
        <w:t>relevantnih vprašanj</w:t>
      </w:r>
      <w:r w:rsidR="005E7EC6">
        <w:rPr>
          <w:rFonts w:ascii="Arial" w:hAnsi="Arial" w:cs="Arial"/>
          <w:color w:val="000000" w:themeColor="text1"/>
          <w:szCs w:val="20"/>
          <w:lang w:eastAsia="sl-SI"/>
        </w:rPr>
        <w:t>.</w:t>
      </w:r>
    </w:p>
    <w:p w:rsidR="003E0A43" w:rsidRPr="003E0A43" w:rsidRDefault="003E0A43" w:rsidP="003E0A43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</w:p>
    <w:p w:rsidR="005E7EC6" w:rsidRPr="005E7EC6" w:rsidRDefault="003E0A43" w:rsidP="003E0A4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 w:rsidRPr="003E0A43">
        <w:rPr>
          <w:rFonts w:ascii="Arial" w:hAnsi="Arial" w:cs="Arial"/>
          <w:color w:val="000000" w:themeColor="text1"/>
          <w:szCs w:val="20"/>
          <w:lang w:eastAsia="sl-SI"/>
        </w:rPr>
        <w:t xml:space="preserve">časa trajanja 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pogodbe </w:t>
      </w:r>
      <w:r w:rsidR="005E7EC6">
        <w:rPr>
          <w:rFonts w:ascii="Arial" w:hAnsi="Arial" w:cs="Arial"/>
          <w:color w:val="000000" w:themeColor="text1"/>
          <w:szCs w:val="20"/>
          <w:lang w:eastAsia="sl-SI"/>
        </w:rPr>
        <w:t xml:space="preserve">za izvedbo zavarovanja </w:t>
      </w:r>
      <w:r w:rsidR="005E7EC6">
        <w:rPr>
          <w:rFonts w:ascii="Arial" w:hAnsi="Arial" w:cs="Arial"/>
        </w:rPr>
        <w:t>celotne p</w:t>
      </w:r>
      <w:r w:rsidR="005E7EC6" w:rsidRPr="0049026D">
        <w:rPr>
          <w:rFonts w:ascii="Arial" w:hAnsi="Arial" w:cs="Arial"/>
        </w:rPr>
        <w:t>rog</w:t>
      </w:r>
      <w:r w:rsidR="005E7EC6">
        <w:rPr>
          <w:rFonts w:ascii="Arial" w:hAnsi="Arial" w:cs="Arial"/>
        </w:rPr>
        <w:t>e</w:t>
      </w:r>
      <w:r w:rsidR="005E7EC6" w:rsidRPr="0049026D">
        <w:rPr>
          <w:rFonts w:ascii="Arial" w:hAnsi="Arial" w:cs="Arial"/>
        </w:rPr>
        <w:t xml:space="preserve"> št. 80 </w:t>
      </w:r>
      <w:proofErr w:type="spellStart"/>
      <w:r w:rsidR="005E7EC6" w:rsidRPr="0049026D">
        <w:rPr>
          <w:rFonts w:ascii="Arial" w:hAnsi="Arial" w:cs="Arial"/>
        </w:rPr>
        <w:t>d.m</w:t>
      </w:r>
      <w:proofErr w:type="spellEnd"/>
      <w:r w:rsidR="005E7EC6" w:rsidRPr="0049026D">
        <w:rPr>
          <w:rFonts w:ascii="Arial" w:hAnsi="Arial" w:cs="Arial"/>
        </w:rPr>
        <w:t>.-Metlika-Ljubljana</w:t>
      </w:r>
      <w:r w:rsidR="005E7EC6">
        <w:rPr>
          <w:rFonts w:ascii="Arial" w:hAnsi="Arial" w:cs="Arial"/>
        </w:rPr>
        <w:t xml:space="preserve"> in št. 81 Sevnica-Trebnje</w:t>
      </w:r>
      <w:r w:rsidR="00BF1FD3">
        <w:rPr>
          <w:rFonts w:ascii="Arial" w:hAnsi="Arial" w:cs="Arial"/>
        </w:rPr>
        <w:t>,</w:t>
      </w:r>
    </w:p>
    <w:p w:rsidR="005E7EC6" w:rsidRPr="005E7EC6" w:rsidRDefault="005E7EC6" w:rsidP="005E7EC6">
      <w:pPr>
        <w:pStyle w:val="Odstavekseznama"/>
        <w:rPr>
          <w:rFonts w:ascii="Arial" w:hAnsi="Arial" w:cs="Arial"/>
          <w:color w:val="000000" w:themeColor="text1"/>
          <w:szCs w:val="20"/>
          <w:lang w:eastAsia="sl-SI"/>
        </w:rPr>
      </w:pPr>
    </w:p>
    <w:p w:rsidR="005E7EC6" w:rsidRDefault="005E7EC6" w:rsidP="003E0A43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>O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cene ponudbene cene. Ocena ponudbene cene je lahko navedena v razponu </w:t>
      </w:r>
      <w:r w:rsidR="008338A6">
        <w:rPr>
          <w:rFonts w:ascii="Arial" w:hAnsi="Arial" w:cs="Arial"/>
          <w:color w:val="000000" w:themeColor="text1"/>
          <w:szCs w:val="20"/>
          <w:lang w:eastAsia="sl-SI"/>
        </w:rPr>
        <w:t>+</w:t>
      </w:r>
      <w:r>
        <w:rPr>
          <w:rFonts w:ascii="Arial" w:hAnsi="Arial" w:cs="Arial"/>
          <w:color w:val="000000" w:themeColor="text1"/>
          <w:szCs w:val="20"/>
          <w:lang w:eastAsia="sl-SI"/>
        </w:rPr>
        <w:t xml:space="preserve"> 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– </w:t>
      </w:r>
      <w:r w:rsidR="008338A6">
        <w:rPr>
          <w:rFonts w:ascii="Arial" w:hAnsi="Arial" w:cs="Arial"/>
          <w:color w:val="000000" w:themeColor="text1"/>
          <w:szCs w:val="20"/>
          <w:lang w:eastAsia="sl-SI"/>
        </w:rPr>
        <w:t xml:space="preserve">20%, 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pri čemer je potrebno navesti glavne dejavnike, od katerih je </w:t>
      </w:r>
      <w:r w:rsidR="008338A6">
        <w:rPr>
          <w:rFonts w:ascii="Arial" w:hAnsi="Arial" w:cs="Arial"/>
          <w:color w:val="000000" w:themeColor="text1"/>
          <w:szCs w:val="20"/>
          <w:lang w:eastAsia="sl-SI"/>
        </w:rPr>
        <w:t>razpon ponudbene cene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 odvis</w:t>
      </w:r>
      <w:r w:rsidR="008338A6">
        <w:rPr>
          <w:rFonts w:ascii="Arial" w:hAnsi="Arial" w:cs="Arial"/>
          <w:color w:val="000000" w:themeColor="text1"/>
          <w:szCs w:val="20"/>
          <w:lang w:eastAsia="sl-SI"/>
        </w:rPr>
        <w:t>en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. </w:t>
      </w:r>
    </w:p>
    <w:p w:rsidR="0022064A" w:rsidRDefault="0022064A" w:rsidP="0022064A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</w:p>
    <w:p w:rsidR="0022064A" w:rsidRDefault="005E7EC6" w:rsidP="00837B0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>V o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>cen</w:t>
      </w:r>
      <w:r>
        <w:rPr>
          <w:rFonts w:ascii="Arial" w:hAnsi="Arial" w:cs="Arial"/>
          <w:color w:val="000000" w:themeColor="text1"/>
          <w:szCs w:val="20"/>
          <w:lang w:eastAsia="sl-SI"/>
        </w:rPr>
        <w:t>i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 xml:space="preserve"> ponudbene cene </w:t>
      </w:r>
      <w:r>
        <w:rPr>
          <w:rFonts w:ascii="Arial" w:hAnsi="Arial" w:cs="Arial"/>
          <w:color w:val="000000" w:themeColor="text1"/>
          <w:szCs w:val="20"/>
          <w:lang w:eastAsia="sl-SI"/>
        </w:rPr>
        <w:t xml:space="preserve">naj bo ločeno prikazana </w:t>
      </w:r>
      <w:r w:rsidR="00837B0E">
        <w:rPr>
          <w:rFonts w:ascii="Arial" w:hAnsi="Arial" w:cs="Arial"/>
          <w:color w:val="000000" w:themeColor="text1"/>
          <w:szCs w:val="20"/>
          <w:lang w:eastAsia="sl-SI"/>
        </w:rPr>
        <w:t>vrednost</w:t>
      </w:r>
      <w:r>
        <w:rPr>
          <w:rFonts w:ascii="Arial" w:hAnsi="Arial" w:cs="Arial"/>
          <w:color w:val="000000" w:themeColor="text1"/>
          <w:szCs w:val="20"/>
          <w:lang w:eastAsia="sl-SI"/>
        </w:rPr>
        <w:t xml:space="preserve"> </w:t>
      </w:r>
      <w:r w:rsidR="00C65B82">
        <w:rPr>
          <w:rFonts w:ascii="Arial" w:hAnsi="Arial" w:cs="Arial"/>
          <w:color w:val="000000" w:themeColor="text1"/>
          <w:szCs w:val="20"/>
          <w:lang w:eastAsia="sl-SI"/>
        </w:rPr>
        <w:t>za</w:t>
      </w:r>
      <w:r w:rsidR="0022064A">
        <w:rPr>
          <w:rFonts w:ascii="Arial" w:hAnsi="Arial" w:cs="Arial"/>
          <w:color w:val="000000" w:themeColor="text1"/>
          <w:szCs w:val="20"/>
          <w:lang w:eastAsia="sl-SI"/>
        </w:rPr>
        <w:t>:</w:t>
      </w:r>
    </w:p>
    <w:p w:rsidR="0022064A" w:rsidRPr="0022064A" w:rsidRDefault="00C65B82" w:rsidP="0022064A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 xml:space="preserve">zavarovanje vseh </w:t>
      </w:r>
      <w:r w:rsidR="005E7EC6">
        <w:rPr>
          <w:rFonts w:ascii="Arial" w:hAnsi="Arial" w:cs="Arial"/>
          <w:color w:val="000000" w:themeColor="text1"/>
          <w:szCs w:val="20"/>
          <w:lang w:eastAsia="sl-SI"/>
        </w:rPr>
        <w:t>7</w:t>
      </w:r>
      <w:r w:rsidR="00837B0E">
        <w:rPr>
          <w:rFonts w:ascii="Arial" w:hAnsi="Arial" w:cs="Arial"/>
          <w:color w:val="000000" w:themeColor="text1"/>
          <w:szCs w:val="20"/>
          <w:lang w:eastAsia="sl-SI"/>
        </w:rPr>
        <w:t>4</w:t>
      </w:r>
      <w:r>
        <w:rPr>
          <w:rFonts w:ascii="Arial" w:hAnsi="Arial" w:cs="Arial"/>
          <w:color w:val="000000" w:themeColor="text1"/>
          <w:szCs w:val="20"/>
          <w:lang w:eastAsia="sl-SI"/>
        </w:rPr>
        <w:t xml:space="preserve"> nivojskih prehodov skupaj</w:t>
      </w:r>
      <w:r w:rsidR="0022064A">
        <w:rPr>
          <w:rFonts w:ascii="Arial" w:hAnsi="Arial" w:cs="Arial"/>
          <w:color w:val="000000" w:themeColor="text1"/>
          <w:szCs w:val="20"/>
          <w:lang w:eastAsia="sl-SI"/>
        </w:rPr>
        <w:t>,</w:t>
      </w:r>
      <w:r>
        <w:rPr>
          <w:rFonts w:ascii="Arial" w:hAnsi="Arial" w:cs="Arial"/>
          <w:color w:val="000000" w:themeColor="text1"/>
          <w:szCs w:val="20"/>
          <w:lang w:eastAsia="sl-SI"/>
        </w:rPr>
        <w:t xml:space="preserve"> </w:t>
      </w:r>
    </w:p>
    <w:p w:rsidR="00837B0E" w:rsidRDefault="005E7EC6" w:rsidP="0022064A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 xml:space="preserve">zavarovanje </w:t>
      </w:r>
      <w:r w:rsidR="00837B0E">
        <w:rPr>
          <w:rFonts w:ascii="Arial" w:hAnsi="Arial" w:cs="Arial"/>
          <w:color w:val="000000" w:themeColor="text1"/>
          <w:szCs w:val="20"/>
          <w:lang w:eastAsia="sl-SI"/>
        </w:rPr>
        <w:t>vseh ostalih naprav po prilogi II: I</w:t>
      </w:r>
      <w:r w:rsidR="00837B0E" w:rsidRPr="00F7196E">
        <w:rPr>
          <w:rFonts w:ascii="Arial" w:eastAsia="Times New Roman" w:hAnsi="Arial" w:cs="Arial"/>
        </w:rPr>
        <w:t>nformativna risba SV in TK naprav za oblikovanje cene</w:t>
      </w:r>
      <w:r w:rsidR="00837B0E">
        <w:rPr>
          <w:rFonts w:ascii="Arial" w:eastAsia="Times New Roman" w:hAnsi="Arial" w:cs="Arial"/>
        </w:rPr>
        <w:t>. Z</w:t>
      </w:r>
      <w:r w:rsidR="00837B0E">
        <w:rPr>
          <w:rFonts w:ascii="Arial" w:hAnsi="Arial" w:cs="Arial"/>
          <w:color w:val="000000" w:themeColor="text1"/>
          <w:szCs w:val="20"/>
          <w:lang w:eastAsia="sl-SI"/>
        </w:rPr>
        <w:t xml:space="preserve">a vse ostale naprave na </w:t>
      </w:r>
      <w:r w:rsidR="00837B0E" w:rsidRPr="00C65B82">
        <w:rPr>
          <w:rFonts w:ascii="Arial" w:hAnsi="Arial" w:cs="Arial"/>
        </w:rPr>
        <w:t xml:space="preserve"> </w:t>
      </w:r>
      <w:r w:rsidR="00837B0E">
        <w:rPr>
          <w:rFonts w:ascii="Arial" w:hAnsi="Arial" w:cs="Arial"/>
        </w:rPr>
        <w:t>celotni p</w:t>
      </w:r>
      <w:r w:rsidR="00837B0E" w:rsidRPr="0049026D">
        <w:rPr>
          <w:rFonts w:ascii="Arial" w:hAnsi="Arial" w:cs="Arial"/>
        </w:rPr>
        <w:t>rog</w:t>
      </w:r>
      <w:r w:rsidR="00837B0E">
        <w:rPr>
          <w:rFonts w:ascii="Arial" w:hAnsi="Arial" w:cs="Arial"/>
        </w:rPr>
        <w:t>i</w:t>
      </w:r>
      <w:r w:rsidR="00837B0E" w:rsidRPr="0049026D">
        <w:rPr>
          <w:rFonts w:ascii="Arial" w:hAnsi="Arial" w:cs="Arial"/>
        </w:rPr>
        <w:t xml:space="preserve"> št. 80 </w:t>
      </w:r>
      <w:proofErr w:type="spellStart"/>
      <w:r w:rsidR="00837B0E" w:rsidRPr="0049026D">
        <w:rPr>
          <w:rFonts w:ascii="Arial" w:hAnsi="Arial" w:cs="Arial"/>
        </w:rPr>
        <w:t>d.m</w:t>
      </w:r>
      <w:proofErr w:type="spellEnd"/>
      <w:r w:rsidR="00837B0E" w:rsidRPr="0049026D">
        <w:rPr>
          <w:rFonts w:ascii="Arial" w:hAnsi="Arial" w:cs="Arial"/>
        </w:rPr>
        <w:t>.-Metlika-Ljubljana</w:t>
      </w:r>
      <w:r w:rsidR="00837B0E">
        <w:rPr>
          <w:rFonts w:ascii="Arial" w:hAnsi="Arial" w:cs="Arial"/>
        </w:rPr>
        <w:t xml:space="preserve"> in progi št. 81 Sevnica-Trebnje ocenjene vrednosti ni potrebno izdelati.</w:t>
      </w:r>
    </w:p>
    <w:p w:rsidR="0022064A" w:rsidRDefault="0022064A" w:rsidP="0022064A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>prilagoditev naprav specifičnim nacionalnim predpisom (testni poligon).</w:t>
      </w:r>
    </w:p>
    <w:p w:rsidR="00837B0E" w:rsidRDefault="00837B0E" w:rsidP="00837B0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</w:p>
    <w:p w:rsidR="00837B0E" w:rsidRDefault="00837B0E" w:rsidP="00837B0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Cs w:val="20"/>
          <w:lang w:eastAsia="sl-SI"/>
        </w:rPr>
      </w:pPr>
      <w:r>
        <w:rPr>
          <w:rFonts w:ascii="Arial" w:hAnsi="Arial" w:cs="Arial"/>
          <w:color w:val="000000" w:themeColor="text1"/>
          <w:szCs w:val="20"/>
          <w:lang w:eastAsia="sl-SI"/>
        </w:rPr>
        <w:t>Pri izdelavi ocenjene vrednosti se naj upošteva naslednje:</w:t>
      </w:r>
    </w:p>
    <w:p w:rsidR="00201632" w:rsidRDefault="00201632" w:rsidP="00837B0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201632" w:rsidRPr="00201632" w:rsidRDefault="00201632" w:rsidP="00837B0E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potrebno je oceniti vrednost vmesnikov </w:t>
      </w:r>
      <w:r w:rsidRPr="0049026D">
        <w:rPr>
          <w:rFonts w:ascii="Arial" w:hAnsi="Arial" w:cs="Arial"/>
          <w:color w:val="333333"/>
          <w:shd w:val="clear" w:color="auto" w:fill="FFFFFF"/>
        </w:rPr>
        <w:t>EULYNX</w:t>
      </w:r>
      <w:r>
        <w:rPr>
          <w:rFonts w:ascii="Arial" w:hAnsi="Arial" w:cs="Arial"/>
          <w:color w:val="333333"/>
          <w:shd w:val="clear" w:color="auto" w:fill="FFFFFF"/>
        </w:rPr>
        <w:t xml:space="preserve"> med postajami do centra vodenja prometa,</w:t>
      </w:r>
    </w:p>
    <w:p w:rsidR="00201632" w:rsidRPr="00201632" w:rsidRDefault="00201632" w:rsidP="00201632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201632">
        <w:rPr>
          <w:rFonts w:ascii="Arial" w:hAnsi="Arial" w:cs="Arial"/>
          <w:color w:val="333333"/>
          <w:shd w:val="clear" w:color="auto" w:fill="FFFFFF"/>
        </w:rPr>
        <w:t xml:space="preserve">prenosni sistemi in fizično </w:t>
      </w:r>
      <w:proofErr w:type="spellStart"/>
      <w:r w:rsidRPr="00201632">
        <w:rPr>
          <w:rFonts w:ascii="Arial" w:hAnsi="Arial" w:cs="Arial"/>
          <w:color w:val="333333"/>
          <w:shd w:val="clear" w:color="auto" w:fill="FFFFFF"/>
        </w:rPr>
        <w:t>kabliranje</w:t>
      </w:r>
      <w:proofErr w:type="spellEnd"/>
      <w:r w:rsidRPr="00201632">
        <w:rPr>
          <w:rFonts w:ascii="Arial" w:hAnsi="Arial" w:cs="Arial"/>
          <w:color w:val="333333"/>
          <w:shd w:val="clear" w:color="auto" w:fill="FFFFFF"/>
        </w:rPr>
        <w:t xml:space="preserve"> do centra vodenja prometa </w:t>
      </w:r>
      <w:r w:rsidR="00BF1FD3">
        <w:rPr>
          <w:rFonts w:ascii="Arial" w:hAnsi="Arial" w:cs="Arial"/>
          <w:color w:val="333333"/>
          <w:shd w:val="clear" w:color="auto" w:fill="FFFFFF"/>
        </w:rPr>
        <w:t xml:space="preserve">v Ljubljani </w:t>
      </w:r>
      <w:r w:rsidRPr="00201632">
        <w:rPr>
          <w:rFonts w:ascii="Arial" w:hAnsi="Arial" w:cs="Arial"/>
          <w:color w:val="333333"/>
          <w:shd w:val="clear" w:color="auto" w:fill="FFFFFF"/>
        </w:rPr>
        <w:t>niso predmet ocenjene vrednosti,</w:t>
      </w:r>
    </w:p>
    <w:p w:rsidR="00837B0E" w:rsidRDefault="00201632" w:rsidP="00201632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201632">
        <w:rPr>
          <w:rFonts w:ascii="Arial" w:hAnsi="Arial" w:cs="Arial"/>
          <w:color w:val="333333"/>
          <w:shd w:val="clear" w:color="auto" w:fill="FFFFFF"/>
        </w:rPr>
        <w:t>v</w:t>
      </w:r>
      <w:r w:rsidR="00837B0E" w:rsidRPr="00201632">
        <w:rPr>
          <w:rFonts w:ascii="Arial" w:hAnsi="Arial" w:cs="Arial"/>
          <w:color w:val="333333"/>
          <w:shd w:val="clear" w:color="auto" w:fill="FFFFFF"/>
        </w:rPr>
        <w:t xml:space="preserve">mesniki do sosednjih postaj, ki niso prikazane </w:t>
      </w:r>
      <w:r>
        <w:rPr>
          <w:rFonts w:ascii="Arial" w:hAnsi="Arial" w:cs="Arial"/>
          <w:color w:val="333333"/>
          <w:shd w:val="clear" w:color="auto" w:fill="FFFFFF"/>
        </w:rPr>
        <w:t xml:space="preserve">v </w:t>
      </w:r>
      <w:r w:rsidRPr="00201632">
        <w:rPr>
          <w:rFonts w:ascii="Arial" w:hAnsi="Arial" w:cs="Arial"/>
          <w:color w:val="333333"/>
          <w:shd w:val="clear" w:color="auto" w:fill="FFFFFF"/>
        </w:rPr>
        <w:t>prilogi II, niso predmet ocenjene vrednosti</w:t>
      </w:r>
      <w:r>
        <w:rPr>
          <w:rFonts w:ascii="Arial" w:hAnsi="Arial" w:cs="Arial"/>
          <w:color w:val="333333"/>
          <w:shd w:val="clear" w:color="auto" w:fill="FFFFFF"/>
        </w:rPr>
        <w:t>,</w:t>
      </w:r>
    </w:p>
    <w:p w:rsidR="0022064A" w:rsidRDefault="00201632" w:rsidP="009B4ECC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22064A">
        <w:rPr>
          <w:rFonts w:ascii="Arial" w:hAnsi="Arial" w:cs="Arial"/>
          <w:color w:val="333333"/>
          <w:shd w:val="clear" w:color="auto" w:fill="FFFFFF"/>
        </w:rPr>
        <w:t>gradbena dela (kabelska kanalizacija) niso predmet ocenjene vrednosti</w:t>
      </w:r>
      <w:r w:rsidR="00BC1AFD" w:rsidRPr="0022064A">
        <w:rPr>
          <w:rFonts w:ascii="Arial" w:hAnsi="Arial" w:cs="Arial"/>
          <w:color w:val="333333"/>
          <w:shd w:val="clear" w:color="auto" w:fill="FFFFFF"/>
        </w:rPr>
        <w:t>,</w:t>
      </w:r>
      <w:r w:rsidR="0022064A" w:rsidRPr="0022064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C1AFD" w:rsidRPr="0022064A" w:rsidRDefault="00BC1AFD" w:rsidP="009B4ECC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22064A">
        <w:rPr>
          <w:rFonts w:ascii="Arial" w:hAnsi="Arial" w:cs="Arial"/>
          <w:color w:val="333333"/>
          <w:shd w:val="clear" w:color="auto" w:fill="FFFFFF"/>
        </w:rPr>
        <w:t xml:space="preserve">morebitni popust, v kolikor </w:t>
      </w:r>
      <w:r w:rsidR="0096102D" w:rsidRPr="0022064A">
        <w:rPr>
          <w:rFonts w:ascii="Arial" w:hAnsi="Arial" w:cs="Arial"/>
          <w:color w:val="333333"/>
          <w:shd w:val="clear" w:color="auto" w:fill="FFFFFF"/>
        </w:rPr>
        <w:t xml:space="preserve">bo predmet enkratnega naročila zavarovanje vseh naprav na obeh progah št.80 in št.81. </w:t>
      </w:r>
    </w:p>
    <w:p w:rsidR="00201632" w:rsidRPr="00201632" w:rsidRDefault="00201632" w:rsidP="00201632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837B0E" w:rsidRDefault="00837B0E" w:rsidP="00837B0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37B0E" w:rsidRDefault="00837B0E" w:rsidP="005E7EC6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837B0E" w:rsidRDefault="00837B0E" w:rsidP="005E7EC6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F7196E" w:rsidRPr="00F7196E" w:rsidRDefault="00F7196E" w:rsidP="005E7EC6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F7196E">
        <w:rPr>
          <w:rFonts w:ascii="Arial" w:hAnsi="Arial" w:cs="Arial"/>
        </w:rPr>
        <w:t>Priloga I: Preglednica prometnih mest za progi</w:t>
      </w:r>
      <w:r w:rsidR="009D22F4">
        <w:rPr>
          <w:rFonts w:ascii="Arial" w:hAnsi="Arial" w:cs="Arial"/>
        </w:rPr>
        <w:t xml:space="preserve"> 80 in 81</w:t>
      </w:r>
    </w:p>
    <w:p w:rsidR="00F7196E" w:rsidRPr="00F7196E" w:rsidRDefault="00F7196E" w:rsidP="00F7196E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7196E">
        <w:rPr>
          <w:rFonts w:ascii="Arial" w:hAnsi="Arial" w:cs="Arial"/>
        </w:rPr>
        <w:t>Priloga II:</w:t>
      </w:r>
      <w:r>
        <w:rPr>
          <w:rFonts w:ascii="Arial" w:hAnsi="Arial" w:cs="Arial"/>
        </w:rPr>
        <w:t xml:space="preserve"> </w:t>
      </w:r>
      <w:r w:rsidRPr="00F7196E">
        <w:rPr>
          <w:rFonts w:ascii="Arial" w:eastAsia="Times New Roman" w:hAnsi="Arial" w:cs="Arial"/>
        </w:rPr>
        <w:t>Informativna risba SV in TK naprav za oblikovanje cene</w:t>
      </w:r>
    </w:p>
    <w:p w:rsidR="004D3DBE" w:rsidRPr="0049026D" w:rsidRDefault="004D3DBE" w:rsidP="0049026D">
      <w:pPr>
        <w:spacing w:line="240" w:lineRule="auto"/>
        <w:rPr>
          <w:rFonts w:ascii="Arial" w:hAnsi="Arial" w:cs="Arial"/>
        </w:rPr>
      </w:pPr>
    </w:p>
    <w:sectPr w:rsidR="004D3DBE" w:rsidRPr="0049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C89"/>
    <w:multiLevelType w:val="multilevel"/>
    <w:tmpl w:val="FAAE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8BF"/>
    <w:multiLevelType w:val="hybridMultilevel"/>
    <w:tmpl w:val="2188C7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43F"/>
    <w:multiLevelType w:val="hybridMultilevel"/>
    <w:tmpl w:val="A33CB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6A78"/>
    <w:multiLevelType w:val="multilevel"/>
    <w:tmpl w:val="FAAE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C316B"/>
    <w:multiLevelType w:val="hybridMultilevel"/>
    <w:tmpl w:val="29200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3806"/>
    <w:multiLevelType w:val="hybridMultilevel"/>
    <w:tmpl w:val="DCBE0FAA"/>
    <w:lvl w:ilvl="0" w:tplc="3BD0166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116F1"/>
    <w:multiLevelType w:val="hybridMultilevel"/>
    <w:tmpl w:val="D4FC80D6"/>
    <w:lvl w:ilvl="0" w:tplc="3BD0166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1ECE"/>
    <w:multiLevelType w:val="hybridMultilevel"/>
    <w:tmpl w:val="F934E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AC2"/>
    <w:multiLevelType w:val="hybridMultilevel"/>
    <w:tmpl w:val="7CDA1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C"/>
    <w:rsid w:val="0010185B"/>
    <w:rsid w:val="00201632"/>
    <w:rsid w:val="0022064A"/>
    <w:rsid w:val="002602F7"/>
    <w:rsid w:val="00354C1E"/>
    <w:rsid w:val="003E0A43"/>
    <w:rsid w:val="0049026D"/>
    <w:rsid w:val="004D3DBE"/>
    <w:rsid w:val="004F3C05"/>
    <w:rsid w:val="005E7EC6"/>
    <w:rsid w:val="00756A06"/>
    <w:rsid w:val="00786D3A"/>
    <w:rsid w:val="008338A6"/>
    <w:rsid w:val="00837B0E"/>
    <w:rsid w:val="0094142C"/>
    <w:rsid w:val="0096102D"/>
    <w:rsid w:val="009D22F4"/>
    <w:rsid w:val="00BC1AFD"/>
    <w:rsid w:val="00BC3229"/>
    <w:rsid w:val="00BF1FD3"/>
    <w:rsid w:val="00C65B82"/>
    <w:rsid w:val="00C65F3B"/>
    <w:rsid w:val="00CB1E7D"/>
    <w:rsid w:val="00D52C7D"/>
    <w:rsid w:val="00D67A9B"/>
    <w:rsid w:val="00E350B9"/>
    <w:rsid w:val="00EE296E"/>
    <w:rsid w:val="00F7196E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264F"/>
  <w15:chartTrackingRefBased/>
  <w15:docId w15:val="{38C5F867-8683-46F3-A3B8-836871E6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Burg</dc:creator>
  <cp:keywords/>
  <dc:description/>
  <cp:lastModifiedBy>Matjaž Kovač</cp:lastModifiedBy>
  <cp:revision>15</cp:revision>
  <dcterms:created xsi:type="dcterms:W3CDTF">2020-12-14T10:07:00Z</dcterms:created>
  <dcterms:modified xsi:type="dcterms:W3CDTF">2021-03-26T08:44:00Z</dcterms:modified>
</cp:coreProperties>
</file>